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070" w:rsidRPr="007A2070" w:rsidRDefault="007A2070" w:rsidP="007A2070">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7A2070">
        <w:rPr>
          <w:rFonts w:ascii="Times New Roman" w:eastAsia="Times New Roman" w:hAnsi="Times New Roman" w:cs="Times New Roman"/>
          <w:b/>
          <w:bCs/>
          <w:kern w:val="36"/>
          <w:sz w:val="48"/>
          <w:szCs w:val="48"/>
          <w:lang w:eastAsia="ru-RU"/>
        </w:rPr>
        <w:t>ГОСТ 32037-2013 Напитки безалкогольные и слабоалкогольные, квасы. Метод определения двуокиси углерода</w:t>
      </w:r>
    </w:p>
    <w:p w:rsidR="007A2070" w:rsidRPr="007A2070" w:rsidRDefault="007A2070" w:rsidP="007A2070">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br/>
        <w:t xml:space="preserve">ГОСТ 32037-2013 </w:t>
      </w:r>
    </w:p>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w:t>
      </w:r>
      <w:r w:rsidRPr="007A2070">
        <w:rPr>
          <w:rFonts w:ascii="Times New Roman" w:eastAsia="Times New Roman" w:hAnsi="Times New Roman" w:cs="Times New Roman"/>
          <w:sz w:val="24"/>
          <w:szCs w:val="24"/>
          <w:lang w:eastAsia="ru-RU"/>
        </w:rPr>
        <w:br/>
        <w:t>     </w:t>
      </w:r>
      <w:r w:rsidRPr="007A2070">
        <w:rPr>
          <w:rFonts w:ascii="Times New Roman" w:eastAsia="Times New Roman" w:hAnsi="Times New Roman" w:cs="Times New Roman"/>
          <w:sz w:val="24"/>
          <w:szCs w:val="24"/>
          <w:lang w:eastAsia="ru-RU"/>
        </w:rPr>
        <w:br/>
        <w:t>МЕЖГОСУДАРСТВЕННЫЙ СТАНДАРТ</w:t>
      </w:r>
    </w:p>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НАПИТКИ БЕЗАЛКОГОЛЬНЫЕ И СЛАБОАЛКОГОЛЬНЫЕ, КВАСЫ</w:t>
      </w:r>
    </w:p>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7A2070">
        <w:rPr>
          <w:rFonts w:ascii="Times New Roman" w:eastAsia="Times New Roman" w:hAnsi="Times New Roman" w:cs="Times New Roman"/>
          <w:sz w:val="24"/>
          <w:szCs w:val="24"/>
          <w:lang w:eastAsia="ru-RU"/>
        </w:rPr>
        <w:t>Метод</w:t>
      </w:r>
      <w:r w:rsidRPr="007A2070">
        <w:rPr>
          <w:rFonts w:ascii="Times New Roman" w:eastAsia="Times New Roman" w:hAnsi="Times New Roman" w:cs="Times New Roman"/>
          <w:sz w:val="24"/>
          <w:szCs w:val="24"/>
          <w:lang w:val="en-US" w:eastAsia="ru-RU"/>
        </w:rPr>
        <w:t xml:space="preserve"> </w:t>
      </w:r>
      <w:r w:rsidRPr="007A2070">
        <w:rPr>
          <w:rFonts w:ascii="Times New Roman" w:eastAsia="Times New Roman" w:hAnsi="Times New Roman" w:cs="Times New Roman"/>
          <w:sz w:val="24"/>
          <w:szCs w:val="24"/>
          <w:lang w:eastAsia="ru-RU"/>
        </w:rPr>
        <w:t>определения</w:t>
      </w:r>
      <w:r w:rsidRPr="007A2070">
        <w:rPr>
          <w:rFonts w:ascii="Times New Roman" w:eastAsia="Times New Roman" w:hAnsi="Times New Roman" w:cs="Times New Roman"/>
          <w:sz w:val="24"/>
          <w:szCs w:val="24"/>
          <w:lang w:val="en-US" w:eastAsia="ru-RU"/>
        </w:rPr>
        <w:t xml:space="preserve"> </w:t>
      </w:r>
      <w:r w:rsidRPr="007A2070">
        <w:rPr>
          <w:rFonts w:ascii="Times New Roman" w:eastAsia="Times New Roman" w:hAnsi="Times New Roman" w:cs="Times New Roman"/>
          <w:sz w:val="24"/>
          <w:szCs w:val="24"/>
          <w:lang w:eastAsia="ru-RU"/>
        </w:rPr>
        <w:t>двуокиси</w:t>
      </w:r>
      <w:r w:rsidRPr="007A2070">
        <w:rPr>
          <w:rFonts w:ascii="Times New Roman" w:eastAsia="Times New Roman" w:hAnsi="Times New Roman" w:cs="Times New Roman"/>
          <w:sz w:val="24"/>
          <w:szCs w:val="24"/>
          <w:lang w:val="en-US" w:eastAsia="ru-RU"/>
        </w:rPr>
        <w:t xml:space="preserve"> </w:t>
      </w:r>
      <w:r w:rsidRPr="007A2070">
        <w:rPr>
          <w:rFonts w:ascii="Times New Roman" w:eastAsia="Times New Roman" w:hAnsi="Times New Roman" w:cs="Times New Roman"/>
          <w:sz w:val="24"/>
          <w:szCs w:val="24"/>
          <w:lang w:eastAsia="ru-RU"/>
        </w:rPr>
        <w:t>углерода</w:t>
      </w:r>
    </w:p>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7A2070">
        <w:rPr>
          <w:rFonts w:ascii="Times New Roman" w:eastAsia="Times New Roman" w:hAnsi="Times New Roman" w:cs="Times New Roman"/>
          <w:sz w:val="24"/>
          <w:szCs w:val="24"/>
          <w:lang w:val="en-US" w:eastAsia="ru-RU"/>
        </w:rPr>
        <w:t xml:space="preserve">Non-alcoholic and low-alcoholic beverages, kvases. Method for determination of carbon dioxide </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 xml:space="preserve">МКС 67.160.20 </w:t>
      </w:r>
    </w:p>
    <w:p w:rsidR="007A2070" w:rsidRPr="007A2070" w:rsidRDefault="007A2070" w:rsidP="007A2070">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Дата введения 2014-07-01 </w:t>
      </w:r>
    </w:p>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w:t>
      </w:r>
      <w:r w:rsidRPr="007A2070">
        <w:rPr>
          <w:rFonts w:ascii="Times New Roman" w:eastAsia="Times New Roman" w:hAnsi="Times New Roman" w:cs="Times New Roman"/>
          <w:sz w:val="24"/>
          <w:szCs w:val="24"/>
          <w:lang w:eastAsia="ru-RU"/>
        </w:rPr>
        <w:br/>
        <w:t>     </w:t>
      </w:r>
      <w:r w:rsidRPr="007A2070">
        <w:rPr>
          <w:rFonts w:ascii="Times New Roman" w:eastAsia="Times New Roman" w:hAnsi="Times New Roman" w:cs="Times New Roman"/>
          <w:sz w:val="24"/>
          <w:szCs w:val="24"/>
          <w:lang w:eastAsia="ru-RU"/>
        </w:rPr>
        <w:br/>
        <w:t xml:space="preserve">Предисловие </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br/>
        <w:t xml:space="preserve">Цели, основные принципы и основной порядок проведения работ по межгосударственной стандартизации установлены </w:t>
      </w:r>
      <w:hyperlink r:id="rId4" w:history="1">
        <w:r w:rsidRPr="007A2070">
          <w:rPr>
            <w:rFonts w:ascii="Times New Roman" w:eastAsia="Times New Roman" w:hAnsi="Times New Roman" w:cs="Times New Roman"/>
            <w:color w:val="0000FF"/>
            <w:sz w:val="24"/>
            <w:szCs w:val="24"/>
            <w:u w:val="single"/>
            <w:lang w:eastAsia="ru-RU"/>
          </w:rPr>
          <w:t>ГОСТ 1.0-92</w:t>
        </w:r>
      </w:hyperlink>
      <w:r w:rsidRPr="007A2070">
        <w:rPr>
          <w:rFonts w:ascii="Times New Roman" w:eastAsia="Times New Roman" w:hAnsi="Times New Roman" w:cs="Times New Roman"/>
          <w:sz w:val="24"/>
          <w:szCs w:val="24"/>
          <w:lang w:eastAsia="ru-RU"/>
        </w:rPr>
        <w:t xml:space="preserve"> "Межгосударственная система стандартизации. Основные положения" и </w:t>
      </w:r>
      <w:hyperlink r:id="rId5" w:history="1">
        <w:r w:rsidRPr="007A2070">
          <w:rPr>
            <w:rFonts w:ascii="Times New Roman" w:eastAsia="Times New Roman" w:hAnsi="Times New Roman" w:cs="Times New Roman"/>
            <w:color w:val="0000FF"/>
            <w:sz w:val="24"/>
            <w:szCs w:val="24"/>
            <w:u w:val="single"/>
            <w:lang w:eastAsia="ru-RU"/>
          </w:rPr>
          <w:t>ГОСТ 1.2-2009</w:t>
        </w:r>
      </w:hyperlink>
      <w:r w:rsidRPr="007A2070">
        <w:rPr>
          <w:rFonts w:ascii="Times New Roman" w:eastAsia="Times New Roman" w:hAnsi="Times New Roman" w:cs="Times New Roman"/>
          <w:sz w:val="24"/>
          <w:szCs w:val="24"/>
          <w:lang w:eastAsia="ru-RU"/>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b/>
          <w:bCs/>
          <w:sz w:val="24"/>
          <w:szCs w:val="24"/>
          <w:lang w:eastAsia="ru-RU"/>
        </w:rPr>
        <w:t>Сведения о стандарте</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1 РАЗРАБОТАН Государственным научным учреждением Всероссийским научно-исследовательским институтом пивоваренной, безалкогольной и винодельческой промышленности Российской академии сельскохозяйственных наук (ГНУ </w:t>
      </w:r>
      <w:proofErr w:type="spellStart"/>
      <w:r w:rsidRPr="007A2070">
        <w:rPr>
          <w:rFonts w:ascii="Times New Roman" w:eastAsia="Times New Roman" w:hAnsi="Times New Roman" w:cs="Times New Roman"/>
          <w:sz w:val="24"/>
          <w:szCs w:val="24"/>
          <w:lang w:eastAsia="ru-RU"/>
        </w:rPr>
        <w:t>ВНИИПБиВП</w:t>
      </w:r>
      <w:proofErr w:type="spellEnd"/>
      <w:r w:rsidRPr="007A2070">
        <w:rPr>
          <w:rFonts w:ascii="Times New Roman" w:eastAsia="Times New Roman" w:hAnsi="Times New Roman" w:cs="Times New Roman"/>
          <w:sz w:val="24"/>
          <w:szCs w:val="24"/>
          <w:lang w:eastAsia="ru-RU"/>
        </w:rPr>
        <w:t xml:space="preserve"> </w:t>
      </w:r>
      <w:proofErr w:type="spellStart"/>
      <w:r w:rsidRPr="007A2070">
        <w:rPr>
          <w:rFonts w:ascii="Times New Roman" w:eastAsia="Times New Roman" w:hAnsi="Times New Roman" w:cs="Times New Roman"/>
          <w:sz w:val="24"/>
          <w:szCs w:val="24"/>
          <w:lang w:eastAsia="ru-RU"/>
        </w:rPr>
        <w:t>Россельхозакадемии</w:t>
      </w:r>
      <w:proofErr w:type="spellEnd"/>
      <w:r w:rsidRPr="007A2070">
        <w:rPr>
          <w:rFonts w:ascii="Times New Roman" w:eastAsia="Times New Roman" w:hAnsi="Times New Roman" w:cs="Times New Roman"/>
          <w:sz w:val="24"/>
          <w:szCs w:val="24"/>
          <w:lang w:eastAsia="ru-RU"/>
        </w:rPr>
        <w:t>)</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2 ВНЕСЕН Федеральным агентством по техническому регулированию и метрологии (ТК 091)</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lastRenderedPageBreak/>
        <w:t>3 ПРИНЯТ Межгосударственным советом по стандартизации, метрологии и сертификации (протокол от 07 июня 2013 г. N 43-</w:t>
      </w:r>
      <w:proofErr w:type="gramStart"/>
      <w:r w:rsidRPr="007A2070">
        <w:rPr>
          <w:rFonts w:ascii="Times New Roman" w:eastAsia="Times New Roman" w:hAnsi="Times New Roman" w:cs="Times New Roman"/>
          <w:sz w:val="24"/>
          <w:szCs w:val="24"/>
          <w:lang w:eastAsia="ru-RU"/>
        </w:rPr>
        <w:t>2013)</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За</w:t>
      </w:r>
      <w:proofErr w:type="gramEnd"/>
      <w:r w:rsidRPr="007A2070">
        <w:rPr>
          <w:rFonts w:ascii="Times New Roman" w:eastAsia="Times New Roman" w:hAnsi="Times New Roman" w:cs="Times New Roman"/>
          <w:sz w:val="24"/>
          <w:szCs w:val="24"/>
          <w:lang w:eastAsia="ru-RU"/>
        </w:rPr>
        <w:t xml:space="preserve"> принятие проголосовали:</w:t>
      </w:r>
      <w:r w:rsidRPr="007A2070">
        <w:rPr>
          <w:rFonts w:ascii="Times New Roman" w:eastAsia="Times New Roman" w:hAnsi="Times New Roman" w:cs="Times New Roman"/>
          <w:sz w:val="24"/>
          <w:szCs w:val="24"/>
          <w:lang w:eastAsia="ru-RU"/>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4"/>
        <w:gridCol w:w="2181"/>
        <w:gridCol w:w="4120"/>
      </w:tblGrid>
      <w:tr w:rsidR="007A2070" w:rsidRPr="007A2070" w:rsidTr="007A2070">
        <w:trPr>
          <w:trHeight w:val="15"/>
          <w:tblCellSpacing w:w="15" w:type="dxa"/>
        </w:trPr>
        <w:tc>
          <w:tcPr>
            <w:tcW w:w="3696" w:type="dxa"/>
            <w:vAlign w:val="center"/>
            <w:hideMark/>
          </w:tcPr>
          <w:p w:rsidR="007A2070" w:rsidRPr="007A2070" w:rsidRDefault="007A2070" w:rsidP="007A2070">
            <w:pPr>
              <w:spacing w:after="0" w:line="240" w:lineRule="auto"/>
              <w:rPr>
                <w:rFonts w:ascii="Times New Roman" w:eastAsia="Times New Roman" w:hAnsi="Times New Roman" w:cs="Times New Roman"/>
                <w:sz w:val="24"/>
                <w:szCs w:val="24"/>
                <w:lang w:eastAsia="ru-RU"/>
              </w:rPr>
            </w:pPr>
          </w:p>
        </w:tc>
        <w:tc>
          <w:tcPr>
            <w:tcW w:w="2772" w:type="dxa"/>
            <w:vAlign w:val="center"/>
            <w:hideMark/>
          </w:tcPr>
          <w:p w:rsidR="007A2070" w:rsidRPr="007A2070" w:rsidRDefault="007A2070" w:rsidP="007A2070">
            <w:pPr>
              <w:spacing w:after="0" w:line="240" w:lineRule="auto"/>
              <w:rPr>
                <w:rFonts w:ascii="Times New Roman" w:eastAsia="Times New Roman" w:hAnsi="Times New Roman" w:cs="Times New Roman"/>
                <w:sz w:val="20"/>
                <w:szCs w:val="20"/>
                <w:lang w:eastAsia="ru-RU"/>
              </w:rPr>
            </w:pPr>
          </w:p>
        </w:tc>
        <w:tc>
          <w:tcPr>
            <w:tcW w:w="5174" w:type="dxa"/>
            <w:vAlign w:val="center"/>
            <w:hideMark/>
          </w:tcPr>
          <w:p w:rsidR="007A2070" w:rsidRPr="007A2070" w:rsidRDefault="007A2070" w:rsidP="007A2070">
            <w:pPr>
              <w:spacing w:after="0" w:line="240" w:lineRule="auto"/>
              <w:rPr>
                <w:rFonts w:ascii="Times New Roman" w:eastAsia="Times New Roman" w:hAnsi="Times New Roman" w:cs="Times New Roman"/>
                <w:sz w:val="20"/>
                <w:szCs w:val="20"/>
                <w:lang w:eastAsia="ru-RU"/>
              </w:rPr>
            </w:pPr>
          </w:p>
        </w:tc>
      </w:tr>
      <w:tr w:rsidR="007A2070" w:rsidRPr="007A2070" w:rsidTr="007A2070">
        <w:trPr>
          <w:tblCellSpacing w:w="15" w:type="dxa"/>
        </w:trPr>
        <w:tc>
          <w:tcPr>
            <w:tcW w:w="3696"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Краткое наименование страны по </w:t>
            </w:r>
            <w:hyperlink r:id="rId6" w:history="1">
              <w:r w:rsidRPr="007A2070">
                <w:rPr>
                  <w:rFonts w:ascii="Times New Roman" w:eastAsia="Times New Roman" w:hAnsi="Times New Roman" w:cs="Times New Roman"/>
                  <w:color w:val="0000FF"/>
                  <w:sz w:val="24"/>
                  <w:szCs w:val="24"/>
                  <w:u w:val="single"/>
                  <w:lang w:eastAsia="ru-RU"/>
                </w:rPr>
                <w:t>МК (ИСО 3166) 004-97</w:t>
              </w:r>
            </w:hyperlink>
            <w:r w:rsidRPr="007A2070">
              <w:rPr>
                <w:rFonts w:ascii="Times New Roman" w:eastAsia="Times New Roman" w:hAnsi="Times New Roman" w:cs="Times New Roman"/>
                <w:sz w:val="24"/>
                <w:szCs w:val="24"/>
                <w:lang w:eastAsia="ru-RU"/>
              </w:rPr>
              <w:t xml:space="preserve"> </w:t>
            </w:r>
          </w:p>
        </w:tc>
        <w:tc>
          <w:tcPr>
            <w:tcW w:w="2772"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Код страны по </w:t>
            </w:r>
            <w:r w:rsidRPr="007A2070">
              <w:rPr>
                <w:rFonts w:ascii="Times New Roman" w:eastAsia="Times New Roman" w:hAnsi="Times New Roman" w:cs="Times New Roman"/>
                <w:sz w:val="24"/>
                <w:szCs w:val="24"/>
                <w:lang w:eastAsia="ru-RU"/>
              </w:rPr>
              <w:br/>
            </w:r>
            <w:hyperlink r:id="rId7" w:history="1">
              <w:r w:rsidRPr="007A2070">
                <w:rPr>
                  <w:rFonts w:ascii="Times New Roman" w:eastAsia="Times New Roman" w:hAnsi="Times New Roman" w:cs="Times New Roman"/>
                  <w:color w:val="0000FF"/>
                  <w:sz w:val="24"/>
                  <w:szCs w:val="24"/>
                  <w:u w:val="single"/>
                  <w:lang w:eastAsia="ru-RU"/>
                </w:rPr>
                <w:t>МК (ИСО 3166) 004-97</w:t>
              </w:r>
            </w:hyperlink>
            <w:r w:rsidRPr="007A2070">
              <w:rPr>
                <w:rFonts w:ascii="Times New Roman" w:eastAsia="Times New Roman" w:hAnsi="Times New Roman" w:cs="Times New Roman"/>
                <w:sz w:val="24"/>
                <w:szCs w:val="24"/>
                <w:lang w:eastAsia="ru-RU"/>
              </w:rPr>
              <w:t xml:space="preserve"> </w:t>
            </w:r>
          </w:p>
        </w:tc>
        <w:tc>
          <w:tcPr>
            <w:tcW w:w="5174" w:type="dxa"/>
            <w:tcBorders>
              <w:top w:val="single" w:sz="6" w:space="0" w:color="000000"/>
              <w:left w:val="single" w:sz="6" w:space="0" w:color="000000"/>
              <w:bottom w:val="single" w:sz="6" w:space="0" w:color="000000"/>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Сокращенное наименование национального органа по стандартизации</w:t>
            </w:r>
          </w:p>
        </w:tc>
      </w:tr>
      <w:tr w:rsidR="007A2070" w:rsidRPr="007A2070" w:rsidTr="007A2070">
        <w:trPr>
          <w:tblCellSpacing w:w="15" w:type="dxa"/>
        </w:trPr>
        <w:tc>
          <w:tcPr>
            <w:tcW w:w="3696"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Казахстан </w:t>
            </w:r>
          </w:p>
        </w:tc>
        <w:tc>
          <w:tcPr>
            <w:tcW w:w="2772"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KZ</w:t>
            </w:r>
          </w:p>
        </w:tc>
        <w:tc>
          <w:tcPr>
            <w:tcW w:w="5174" w:type="dxa"/>
            <w:tcBorders>
              <w:top w:val="single" w:sz="6" w:space="0" w:color="000000"/>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Госстандарт Республики Казахстан </w:t>
            </w:r>
          </w:p>
        </w:tc>
      </w:tr>
      <w:tr w:rsidR="007A2070" w:rsidRPr="007A2070" w:rsidTr="007A2070">
        <w:trPr>
          <w:tblCellSpacing w:w="15" w:type="dxa"/>
        </w:trPr>
        <w:tc>
          <w:tcPr>
            <w:tcW w:w="3696"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Киргизия </w:t>
            </w:r>
          </w:p>
        </w:tc>
        <w:tc>
          <w:tcPr>
            <w:tcW w:w="2772"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KG</w:t>
            </w:r>
          </w:p>
        </w:tc>
        <w:tc>
          <w:tcPr>
            <w:tcW w:w="5174"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7A2070">
              <w:rPr>
                <w:rFonts w:ascii="Times New Roman" w:eastAsia="Times New Roman" w:hAnsi="Times New Roman" w:cs="Times New Roman"/>
                <w:sz w:val="24"/>
                <w:szCs w:val="24"/>
                <w:lang w:eastAsia="ru-RU"/>
              </w:rPr>
              <w:t>Кыргызстандарт</w:t>
            </w:r>
            <w:proofErr w:type="spellEnd"/>
            <w:r w:rsidRPr="007A2070">
              <w:rPr>
                <w:rFonts w:ascii="Times New Roman" w:eastAsia="Times New Roman" w:hAnsi="Times New Roman" w:cs="Times New Roman"/>
                <w:sz w:val="24"/>
                <w:szCs w:val="24"/>
                <w:lang w:eastAsia="ru-RU"/>
              </w:rPr>
              <w:t xml:space="preserve"> </w:t>
            </w:r>
          </w:p>
        </w:tc>
      </w:tr>
      <w:tr w:rsidR="007A2070" w:rsidRPr="007A2070" w:rsidTr="007A2070">
        <w:trPr>
          <w:tblCellSpacing w:w="15" w:type="dxa"/>
        </w:trPr>
        <w:tc>
          <w:tcPr>
            <w:tcW w:w="3696"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Молдова </w:t>
            </w:r>
          </w:p>
        </w:tc>
        <w:tc>
          <w:tcPr>
            <w:tcW w:w="2772"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MD</w:t>
            </w:r>
          </w:p>
        </w:tc>
        <w:tc>
          <w:tcPr>
            <w:tcW w:w="5174"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Молдова-Стандарт </w:t>
            </w:r>
          </w:p>
        </w:tc>
      </w:tr>
      <w:tr w:rsidR="007A2070" w:rsidRPr="007A2070" w:rsidTr="007A2070">
        <w:trPr>
          <w:tblCellSpacing w:w="15" w:type="dxa"/>
        </w:trPr>
        <w:tc>
          <w:tcPr>
            <w:tcW w:w="3696"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Россия </w:t>
            </w:r>
          </w:p>
        </w:tc>
        <w:tc>
          <w:tcPr>
            <w:tcW w:w="2772"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RU</w:t>
            </w:r>
          </w:p>
        </w:tc>
        <w:tc>
          <w:tcPr>
            <w:tcW w:w="5174"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7A2070">
              <w:rPr>
                <w:rFonts w:ascii="Times New Roman" w:eastAsia="Times New Roman" w:hAnsi="Times New Roman" w:cs="Times New Roman"/>
                <w:sz w:val="24"/>
                <w:szCs w:val="24"/>
                <w:lang w:eastAsia="ru-RU"/>
              </w:rPr>
              <w:t>Росстандарт</w:t>
            </w:r>
            <w:proofErr w:type="spellEnd"/>
            <w:r w:rsidRPr="007A2070">
              <w:rPr>
                <w:rFonts w:ascii="Times New Roman" w:eastAsia="Times New Roman" w:hAnsi="Times New Roman" w:cs="Times New Roman"/>
                <w:sz w:val="24"/>
                <w:szCs w:val="24"/>
                <w:lang w:eastAsia="ru-RU"/>
              </w:rPr>
              <w:t xml:space="preserve"> </w:t>
            </w:r>
          </w:p>
        </w:tc>
      </w:tr>
      <w:tr w:rsidR="007A2070" w:rsidRPr="007A2070" w:rsidTr="007A2070">
        <w:trPr>
          <w:tblCellSpacing w:w="15" w:type="dxa"/>
        </w:trPr>
        <w:tc>
          <w:tcPr>
            <w:tcW w:w="3696"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Таджикистан </w:t>
            </w:r>
          </w:p>
        </w:tc>
        <w:tc>
          <w:tcPr>
            <w:tcW w:w="2772"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TJ</w:t>
            </w:r>
          </w:p>
        </w:tc>
        <w:tc>
          <w:tcPr>
            <w:tcW w:w="5174" w:type="dxa"/>
            <w:tcBorders>
              <w:top w:val="nil"/>
              <w:left w:val="single" w:sz="6" w:space="0" w:color="000000"/>
              <w:bottom w:val="nil"/>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7A2070">
              <w:rPr>
                <w:rFonts w:ascii="Times New Roman" w:eastAsia="Times New Roman" w:hAnsi="Times New Roman" w:cs="Times New Roman"/>
                <w:sz w:val="24"/>
                <w:szCs w:val="24"/>
                <w:lang w:eastAsia="ru-RU"/>
              </w:rPr>
              <w:t>Таджикстандарт</w:t>
            </w:r>
            <w:proofErr w:type="spellEnd"/>
            <w:r w:rsidRPr="007A2070">
              <w:rPr>
                <w:rFonts w:ascii="Times New Roman" w:eastAsia="Times New Roman" w:hAnsi="Times New Roman" w:cs="Times New Roman"/>
                <w:sz w:val="24"/>
                <w:szCs w:val="24"/>
                <w:lang w:eastAsia="ru-RU"/>
              </w:rPr>
              <w:t xml:space="preserve"> </w:t>
            </w:r>
          </w:p>
        </w:tc>
      </w:tr>
      <w:tr w:rsidR="007A2070" w:rsidRPr="007A2070" w:rsidTr="007A2070">
        <w:trPr>
          <w:tblCellSpacing w:w="15" w:type="dxa"/>
        </w:trPr>
        <w:tc>
          <w:tcPr>
            <w:tcW w:w="3696"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Узбекистан </w:t>
            </w:r>
          </w:p>
        </w:tc>
        <w:tc>
          <w:tcPr>
            <w:tcW w:w="2772"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UZ</w:t>
            </w:r>
          </w:p>
        </w:tc>
        <w:tc>
          <w:tcPr>
            <w:tcW w:w="5174" w:type="dxa"/>
            <w:tcBorders>
              <w:top w:val="nil"/>
              <w:left w:val="single" w:sz="6" w:space="0" w:color="000000"/>
              <w:bottom w:val="single" w:sz="6" w:space="0" w:color="000000"/>
              <w:right w:val="single" w:sz="6" w:space="0" w:color="000000"/>
            </w:tcBorders>
            <w:tcMar>
              <w:top w:w="15" w:type="dxa"/>
              <w:left w:w="74" w:type="dxa"/>
              <w:bottom w:w="15" w:type="dxa"/>
              <w:right w:w="74" w:type="dxa"/>
            </w:tcMar>
            <w:hideMark/>
          </w:tcPr>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7A2070">
              <w:rPr>
                <w:rFonts w:ascii="Times New Roman" w:eastAsia="Times New Roman" w:hAnsi="Times New Roman" w:cs="Times New Roman"/>
                <w:sz w:val="24"/>
                <w:szCs w:val="24"/>
                <w:lang w:eastAsia="ru-RU"/>
              </w:rPr>
              <w:t>Узстандарт</w:t>
            </w:r>
            <w:proofErr w:type="spellEnd"/>
            <w:r w:rsidRPr="007A2070">
              <w:rPr>
                <w:rFonts w:ascii="Times New Roman" w:eastAsia="Times New Roman" w:hAnsi="Times New Roman" w:cs="Times New Roman"/>
                <w:sz w:val="24"/>
                <w:szCs w:val="24"/>
                <w:lang w:eastAsia="ru-RU"/>
              </w:rPr>
              <w:t xml:space="preserve"> </w:t>
            </w:r>
          </w:p>
        </w:tc>
      </w:tr>
    </w:tbl>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4 Приказом Федерального агентства по техническому регулированию и метрологии от 28 июня 2013 г. N 322-ст межгосударственный стандарт ГОСТ 32037-2013 введен в действие в качестве национального стандарта Российской Федерации с 01 июля 2014 г.</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5 ВВЕДЕН ВПЕРВЫЕ</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i/>
          <w:iCs/>
          <w:sz w:val="24"/>
          <w:szCs w:val="24"/>
          <w:lang w:eastAsia="ru-RU"/>
        </w:rPr>
        <w:t>Информация об изменениях к настоящему стандарту публикуется в ежегодном информационном указателе "Национальные стандарты",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     1 Область применения </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br/>
        <w:t>Настоящий стандарт распространяется на газированные безалкогольные и слабоалкогольные напитки, квасы и устанавливает метод определения массовой доли двуокиси углерода.</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7A2070">
        <w:rPr>
          <w:rFonts w:ascii="Times New Roman" w:eastAsia="Times New Roman" w:hAnsi="Times New Roman" w:cs="Times New Roman"/>
          <w:b/>
          <w:bCs/>
          <w:sz w:val="36"/>
          <w:szCs w:val="36"/>
          <w:lang w:eastAsia="ru-RU"/>
        </w:rPr>
        <w:t>2 Нормативные ссылки</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lastRenderedPageBreak/>
        <w:br/>
        <w:t xml:space="preserve">В настоящем стандарте использованы нормативные ссылки на следующие межгосударственные </w:t>
      </w:r>
      <w:proofErr w:type="gramStart"/>
      <w:r w:rsidRPr="007A2070">
        <w:rPr>
          <w:rFonts w:ascii="Times New Roman" w:eastAsia="Times New Roman" w:hAnsi="Times New Roman" w:cs="Times New Roman"/>
          <w:sz w:val="24"/>
          <w:szCs w:val="24"/>
          <w:lang w:eastAsia="ru-RU"/>
        </w:rPr>
        <w:t>стандарты:</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hyperlink r:id="rId8" w:history="1">
        <w:r w:rsidRPr="007A2070">
          <w:rPr>
            <w:rFonts w:ascii="Times New Roman" w:eastAsia="Times New Roman" w:hAnsi="Times New Roman" w:cs="Times New Roman"/>
            <w:color w:val="0000FF"/>
            <w:sz w:val="24"/>
            <w:szCs w:val="24"/>
            <w:u w:val="single"/>
            <w:lang w:eastAsia="ru-RU"/>
          </w:rPr>
          <w:t>ГОСТ</w:t>
        </w:r>
        <w:proofErr w:type="gramEnd"/>
        <w:r w:rsidRPr="007A2070">
          <w:rPr>
            <w:rFonts w:ascii="Times New Roman" w:eastAsia="Times New Roman" w:hAnsi="Times New Roman" w:cs="Times New Roman"/>
            <w:color w:val="0000FF"/>
            <w:sz w:val="24"/>
            <w:szCs w:val="24"/>
            <w:u w:val="single"/>
            <w:lang w:eastAsia="ru-RU"/>
          </w:rPr>
          <w:t xml:space="preserve"> 2405-88</w:t>
        </w:r>
      </w:hyperlink>
      <w:r w:rsidRPr="007A2070">
        <w:rPr>
          <w:rFonts w:ascii="Times New Roman" w:eastAsia="Times New Roman" w:hAnsi="Times New Roman" w:cs="Times New Roman"/>
          <w:sz w:val="24"/>
          <w:szCs w:val="24"/>
          <w:lang w:eastAsia="ru-RU"/>
        </w:rPr>
        <w:t xml:space="preserve"> Манометры, вакуумметры, </w:t>
      </w:r>
      <w:proofErr w:type="spellStart"/>
      <w:r w:rsidRPr="007A2070">
        <w:rPr>
          <w:rFonts w:ascii="Times New Roman" w:eastAsia="Times New Roman" w:hAnsi="Times New Roman" w:cs="Times New Roman"/>
          <w:sz w:val="24"/>
          <w:szCs w:val="24"/>
          <w:lang w:eastAsia="ru-RU"/>
        </w:rPr>
        <w:t>мановакуумметры</w:t>
      </w:r>
      <w:proofErr w:type="spellEnd"/>
      <w:r w:rsidRPr="007A2070">
        <w:rPr>
          <w:rFonts w:ascii="Times New Roman" w:eastAsia="Times New Roman" w:hAnsi="Times New Roman" w:cs="Times New Roman"/>
          <w:sz w:val="24"/>
          <w:szCs w:val="24"/>
          <w:lang w:eastAsia="ru-RU"/>
        </w:rPr>
        <w:t xml:space="preserve">, </w:t>
      </w:r>
      <w:proofErr w:type="spellStart"/>
      <w:r w:rsidRPr="007A2070">
        <w:rPr>
          <w:rFonts w:ascii="Times New Roman" w:eastAsia="Times New Roman" w:hAnsi="Times New Roman" w:cs="Times New Roman"/>
          <w:sz w:val="24"/>
          <w:szCs w:val="24"/>
          <w:lang w:eastAsia="ru-RU"/>
        </w:rPr>
        <w:t>напоромеры</w:t>
      </w:r>
      <w:proofErr w:type="spellEnd"/>
      <w:r w:rsidRPr="007A2070">
        <w:rPr>
          <w:rFonts w:ascii="Times New Roman" w:eastAsia="Times New Roman" w:hAnsi="Times New Roman" w:cs="Times New Roman"/>
          <w:sz w:val="24"/>
          <w:szCs w:val="24"/>
          <w:lang w:eastAsia="ru-RU"/>
        </w:rPr>
        <w:t xml:space="preserve">, тягомеры и </w:t>
      </w:r>
      <w:proofErr w:type="spellStart"/>
      <w:r w:rsidRPr="007A2070">
        <w:rPr>
          <w:rFonts w:ascii="Times New Roman" w:eastAsia="Times New Roman" w:hAnsi="Times New Roman" w:cs="Times New Roman"/>
          <w:sz w:val="24"/>
          <w:szCs w:val="24"/>
          <w:lang w:eastAsia="ru-RU"/>
        </w:rPr>
        <w:t>тягонапоромеры</w:t>
      </w:r>
      <w:proofErr w:type="spellEnd"/>
      <w:r w:rsidRPr="007A2070">
        <w:rPr>
          <w:rFonts w:ascii="Times New Roman" w:eastAsia="Times New Roman" w:hAnsi="Times New Roman" w:cs="Times New Roman"/>
          <w:sz w:val="24"/>
          <w:szCs w:val="24"/>
          <w:lang w:eastAsia="ru-RU"/>
        </w:rPr>
        <w:t>. Общие технические условия</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hyperlink r:id="rId9" w:history="1">
        <w:r w:rsidRPr="007A2070">
          <w:rPr>
            <w:rFonts w:ascii="Times New Roman" w:eastAsia="Times New Roman" w:hAnsi="Times New Roman" w:cs="Times New Roman"/>
            <w:color w:val="0000FF"/>
            <w:sz w:val="24"/>
            <w:szCs w:val="24"/>
            <w:u w:val="single"/>
            <w:lang w:eastAsia="ru-RU"/>
          </w:rPr>
          <w:t>ГОСТ 6687.0-86</w:t>
        </w:r>
      </w:hyperlink>
      <w:r w:rsidRPr="007A2070">
        <w:rPr>
          <w:rFonts w:ascii="Times New Roman" w:eastAsia="Times New Roman" w:hAnsi="Times New Roman" w:cs="Times New Roman"/>
          <w:sz w:val="24"/>
          <w:szCs w:val="24"/>
          <w:lang w:eastAsia="ru-RU"/>
        </w:rPr>
        <w:t xml:space="preserve"> Продукция безалкогольной промышленности. Правила приемки и методы отбора проб</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hyperlink r:id="rId10" w:history="1">
        <w:r w:rsidRPr="007A2070">
          <w:rPr>
            <w:rFonts w:ascii="Times New Roman" w:eastAsia="Times New Roman" w:hAnsi="Times New Roman" w:cs="Times New Roman"/>
            <w:color w:val="0000FF"/>
            <w:sz w:val="24"/>
            <w:szCs w:val="24"/>
            <w:u w:val="single"/>
            <w:lang w:eastAsia="ru-RU"/>
          </w:rPr>
          <w:t>ГОСТ 13646-68</w:t>
        </w:r>
      </w:hyperlink>
      <w:r w:rsidRPr="007A2070">
        <w:rPr>
          <w:rFonts w:ascii="Times New Roman" w:eastAsia="Times New Roman" w:hAnsi="Times New Roman" w:cs="Times New Roman"/>
          <w:sz w:val="24"/>
          <w:szCs w:val="24"/>
          <w:lang w:eastAsia="ru-RU"/>
        </w:rPr>
        <w:t xml:space="preserve"> Термометры стеклянные ртутные для точных измерений. Технические условия</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7A2070">
        <w:rPr>
          <w:rFonts w:ascii="Times New Roman" w:eastAsia="Times New Roman" w:hAnsi="Times New Roman" w:cs="Times New Roman"/>
          <w:b/>
          <w:bCs/>
          <w:sz w:val="36"/>
          <w:szCs w:val="36"/>
          <w:lang w:eastAsia="ru-RU"/>
        </w:rPr>
        <w:t>3 Сущность метода</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br/>
        <w:t>Метод основан на измерении давления в укупоренной бутылке или металлической банке и расчете массовой доли двуокиси углерода в зависимости от измеренного давления и температуры напитка.</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7A2070">
        <w:rPr>
          <w:rFonts w:ascii="Times New Roman" w:eastAsia="Times New Roman" w:hAnsi="Times New Roman" w:cs="Times New Roman"/>
          <w:b/>
          <w:bCs/>
          <w:sz w:val="36"/>
          <w:szCs w:val="36"/>
          <w:lang w:eastAsia="ru-RU"/>
        </w:rPr>
        <w:t>4 Средства контроля и/или испытаний</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4.1 Устройство для определения давления в бутылках и банках (</w:t>
      </w:r>
      <w:proofErr w:type="spellStart"/>
      <w:r w:rsidRPr="007A2070">
        <w:rPr>
          <w:rFonts w:ascii="Times New Roman" w:eastAsia="Times New Roman" w:hAnsi="Times New Roman" w:cs="Times New Roman"/>
          <w:sz w:val="24"/>
          <w:szCs w:val="24"/>
          <w:lang w:eastAsia="ru-RU"/>
        </w:rPr>
        <w:t>афрометр</w:t>
      </w:r>
      <w:proofErr w:type="spellEnd"/>
      <w:r w:rsidRPr="007A2070">
        <w:rPr>
          <w:rFonts w:ascii="Times New Roman" w:eastAsia="Times New Roman" w:hAnsi="Times New Roman" w:cs="Times New Roman"/>
          <w:sz w:val="24"/>
          <w:szCs w:val="24"/>
          <w:lang w:eastAsia="ru-RU"/>
        </w:rPr>
        <w:t xml:space="preserve">), состоящее из показывающего манометра по </w:t>
      </w:r>
      <w:hyperlink r:id="rId11" w:history="1">
        <w:r w:rsidRPr="007A2070">
          <w:rPr>
            <w:rFonts w:ascii="Times New Roman" w:eastAsia="Times New Roman" w:hAnsi="Times New Roman" w:cs="Times New Roman"/>
            <w:color w:val="0000FF"/>
            <w:sz w:val="24"/>
            <w:szCs w:val="24"/>
            <w:u w:val="single"/>
            <w:lang w:eastAsia="ru-RU"/>
          </w:rPr>
          <w:t>ГОСТ 2405</w:t>
        </w:r>
      </w:hyperlink>
      <w:r w:rsidRPr="007A2070">
        <w:rPr>
          <w:rFonts w:ascii="Times New Roman" w:eastAsia="Times New Roman" w:hAnsi="Times New Roman" w:cs="Times New Roman"/>
          <w:sz w:val="24"/>
          <w:szCs w:val="24"/>
          <w:lang w:eastAsia="ru-RU"/>
        </w:rPr>
        <w:t xml:space="preserve"> класса точности не ниже 2,5 и пределом измерения не более 0,6 МПа (6 кг/см</w:t>
      </w:r>
      <w:r w:rsidRPr="007A2070">
        <w:rPr>
          <w:rFonts w:ascii="Times New Roman" w:eastAsia="Times New Roman" w:hAnsi="Times New Roman" w:cs="Times New Roman"/>
          <w:noProof/>
          <w:sz w:val="24"/>
          <w:szCs w:val="24"/>
          <w:lang w:eastAsia="ru-RU"/>
        </w:rPr>
        <mc:AlternateContent>
          <mc:Choice Requires="wps">
            <w:drawing>
              <wp:inline distT="0" distB="0" distL="0" distR="0">
                <wp:extent cx="104775" cy="219075"/>
                <wp:effectExtent l="0" t="0" r="0" b="0"/>
                <wp:docPr id="1" name="Прямоугольник 1" descr="ГОСТ 32037-2013 Напитки безалкогольные и слабоалкогольные, квасы. Метод определения двуокиси углер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07E847" id="Прямоугольник 1" o:spid="_x0000_s1026" alt="ГОСТ 32037-2013 Напитки безалкогольные и слабоалкогольные, квасы. Метод определения двуокиси углерода"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" filled="f" stroked="f">
                <o:lock v:ext="edit" aspectratio="t"/>
                <w10:anchorlock/>
              </v:rect>
            </w:pict>
          </mc:Fallback>
        </mc:AlternateContent>
      </w:r>
      <w:r w:rsidRPr="007A2070">
        <w:rPr>
          <w:rFonts w:ascii="Times New Roman" w:eastAsia="Times New Roman" w:hAnsi="Times New Roman" w:cs="Times New Roman"/>
          <w:sz w:val="24"/>
          <w:szCs w:val="24"/>
          <w:lang w:eastAsia="ru-RU"/>
        </w:rPr>
        <w:t>) с навинченным на него специальным зондом - приспособлением для прокалывания пробки бутылки (дна банки) и соединения манометра с газовой камерой бутылки или банки без нарушения герметичности укупорки.</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 xml:space="preserve">Термометр ртутный стеклянный лабораторный по </w:t>
      </w:r>
      <w:hyperlink r:id="rId12" w:history="1">
        <w:r w:rsidRPr="007A2070">
          <w:rPr>
            <w:rFonts w:ascii="Times New Roman" w:eastAsia="Times New Roman" w:hAnsi="Times New Roman" w:cs="Times New Roman"/>
            <w:color w:val="0000FF"/>
            <w:sz w:val="24"/>
            <w:szCs w:val="24"/>
            <w:u w:val="single"/>
            <w:lang w:eastAsia="ru-RU"/>
          </w:rPr>
          <w:t>ГОСТ 13646</w:t>
        </w:r>
      </w:hyperlink>
      <w:r w:rsidRPr="007A2070">
        <w:rPr>
          <w:rFonts w:ascii="Times New Roman" w:eastAsia="Times New Roman" w:hAnsi="Times New Roman" w:cs="Times New Roman"/>
          <w:sz w:val="24"/>
          <w:szCs w:val="24"/>
          <w:lang w:eastAsia="ru-RU"/>
        </w:rPr>
        <w:t xml:space="preserve"> с пределом измерения от 0 °С до 100 °С и ценой деления 1 °С.</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Аппарат для встряхивания жидкостей.</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4.2 Допускается использовать другие приборы с техническими характеристиками не ниже указанных в 4.1.</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lastRenderedPageBreak/>
        <w:br/>
      </w:r>
    </w:p>
    <w:p w:rsidR="007A2070" w:rsidRPr="007A2070" w:rsidRDefault="007A2070" w:rsidP="007A207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7A2070">
        <w:rPr>
          <w:rFonts w:ascii="Times New Roman" w:eastAsia="Times New Roman" w:hAnsi="Times New Roman" w:cs="Times New Roman"/>
          <w:b/>
          <w:bCs/>
          <w:sz w:val="36"/>
          <w:szCs w:val="36"/>
          <w:lang w:eastAsia="ru-RU"/>
        </w:rPr>
        <w:t>5 Отбор проб</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br/>
        <w:t xml:space="preserve">Отбор проб - по </w:t>
      </w:r>
      <w:hyperlink r:id="rId13" w:history="1">
        <w:r w:rsidRPr="007A2070">
          <w:rPr>
            <w:rFonts w:ascii="Times New Roman" w:eastAsia="Times New Roman" w:hAnsi="Times New Roman" w:cs="Times New Roman"/>
            <w:color w:val="0000FF"/>
            <w:sz w:val="24"/>
            <w:szCs w:val="24"/>
            <w:u w:val="single"/>
            <w:lang w:eastAsia="ru-RU"/>
          </w:rPr>
          <w:t>ГОСТ 6687.0</w:t>
        </w:r>
      </w:hyperlink>
      <w:r w:rsidRPr="007A2070">
        <w:rPr>
          <w:rFonts w:ascii="Times New Roman" w:eastAsia="Times New Roman" w:hAnsi="Times New Roman" w:cs="Times New Roman"/>
          <w:sz w:val="24"/>
          <w:szCs w:val="24"/>
          <w:lang w:eastAsia="ru-RU"/>
        </w:rPr>
        <w:t>.</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7A2070">
        <w:rPr>
          <w:rFonts w:ascii="Times New Roman" w:eastAsia="Times New Roman" w:hAnsi="Times New Roman" w:cs="Times New Roman"/>
          <w:b/>
          <w:bCs/>
          <w:sz w:val="36"/>
          <w:szCs w:val="36"/>
          <w:lang w:eastAsia="ru-RU"/>
        </w:rPr>
        <w:t>6 Порядок проведения контроля и/или испытания</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6.1 Бутылку или банку с напитком закрепляют в устройстве для определения давления (</w:t>
      </w:r>
      <w:proofErr w:type="spellStart"/>
      <w:r w:rsidRPr="007A2070">
        <w:rPr>
          <w:rFonts w:ascii="Times New Roman" w:eastAsia="Times New Roman" w:hAnsi="Times New Roman" w:cs="Times New Roman"/>
          <w:sz w:val="24"/>
          <w:szCs w:val="24"/>
          <w:lang w:eastAsia="ru-RU"/>
        </w:rPr>
        <w:t>афрометре</w:t>
      </w:r>
      <w:proofErr w:type="spellEnd"/>
      <w:r w:rsidRPr="007A2070">
        <w:rPr>
          <w:rFonts w:ascii="Times New Roman" w:eastAsia="Times New Roman" w:hAnsi="Times New Roman" w:cs="Times New Roman"/>
          <w:sz w:val="24"/>
          <w:szCs w:val="24"/>
          <w:lang w:eastAsia="ru-RU"/>
        </w:rPr>
        <w:t>). Стеклянную бутылку или банку ставят на основание устройства, причем банку донышком вверх. Бутылку из полиэтилентерефталата вставляют горловиной в паз специального кронштейна так, чтобы бутылка находилась в подвешенном состоянии и расстояние между дном бутылки и основанием составляло 2-3 мм.</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6.2 Для обеспечения безопасности стеклянную бутылку с напитком помещают в чехол из плотной ткани или кожи.</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6.3 </w:t>
      </w:r>
      <w:proofErr w:type="gramStart"/>
      <w:r w:rsidRPr="007A2070">
        <w:rPr>
          <w:rFonts w:ascii="Times New Roman" w:eastAsia="Times New Roman" w:hAnsi="Times New Roman" w:cs="Times New Roman"/>
          <w:sz w:val="24"/>
          <w:szCs w:val="24"/>
          <w:lang w:eastAsia="ru-RU"/>
        </w:rPr>
        <w:t>В</w:t>
      </w:r>
      <w:proofErr w:type="gramEnd"/>
      <w:r w:rsidRPr="007A2070">
        <w:rPr>
          <w:rFonts w:ascii="Times New Roman" w:eastAsia="Times New Roman" w:hAnsi="Times New Roman" w:cs="Times New Roman"/>
          <w:sz w:val="24"/>
          <w:szCs w:val="24"/>
          <w:lang w:eastAsia="ru-RU"/>
        </w:rPr>
        <w:t xml:space="preserve"> бутылке или банке с напитком, закрепленной в устройстве для определения давления, осторожно прокалывают пробку бутылки (дно банки) устройством для прокалывания. При этом газ поступает к манометру. Затем открывают устройство для стравливания газа, снижают давление на манометре до нуля и снова его закрывают.</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Определение массовой доли двуокиси углерода в квасе проводят без предварительного снижения давления на манометре до нуля.</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6.4 Устройство с закрепленной бутылкой или банкой устанавливают в аппарат для встряхивания и встряхивают до установления постоянного давления на манометре. Допускается встряхивание вручную.</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6.5 Отмечают показание манометра, убедившись в герметичности системы. Если система герметична, показание манометра в течение 2 мин должно оставаться неизменным.</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6.6 После измерения давления бутылку или банку снимают с прибора, открывают и термометром измеряют температуру напитка.</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6.7 Массовую долю двуокиси углерода в напитке в зависимости от измеренного давления и температуры находят по таблице (см. приложение А).</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7A2070">
        <w:rPr>
          <w:rFonts w:ascii="Times New Roman" w:eastAsia="Times New Roman" w:hAnsi="Times New Roman" w:cs="Times New Roman"/>
          <w:b/>
          <w:bCs/>
          <w:sz w:val="36"/>
          <w:szCs w:val="36"/>
          <w:lang w:eastAsia="ru-RU"/>
        </w:rPr>
        <w:lastRenderedPageBreak/>
        <w:t>7 Правила оформления результатов контроля и/или испытания</w:t>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 xml:space="preserve">7.1 Результаты контроля и/или испытания записывают в протокол, который должен содержать следующие </w:t>
      </w:r>
      <w:proofErr w:type="gramStart"/>
      <w:r w:rsidRPr="007A2070">
        <w:rPr>
          <w:rFonts w:ascii="Times New Roman" w:eastAsia="Times New Roman" w:hAnsi="Times New Roman" w:cs="Times New Roman"/>
          <w:sz w:val="24"/>
          <w:szCs w:val="24"/>
          <w:lang w:eastAsia="ru-RU"/>
        </w:rPr>
        <w:t>данные:</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w:t>
      </w:r>
      <w:proofErr w:type="gramEnd"/>
      <w:r w:rsidRPr="007A2070">
        <w:rPr>
          <w:rFonts w:ascii="Times New Roman" w:eastAsia="Times New Roman" w:hAnsi="Times New Roman" w:cs="Times New Roman"/>
          <w:sz w:val="24"/>
          <w:szCs w:val="24"/>
          <w:lang w:eastAsia="ru-RU"/>
        </w:rPr>
        <w:t xml:space="preserve"> наименование продукции;</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 дату и место отбора образцов;</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 дату и место проведения контроля и/или испытания;</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 количество испытанных образцов;</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 результаты контроля и/или испытания;</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 обозначение настоящего стандарта;</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t>- подпись лица, проводившего контроль и/или испытание.</w:t>
      </w:r>
      <w:r w:rsidRPr="007A2070">
        <w:rPr>
          <w:rFonts w:ascii="Times New Roman" w:eastAsia="Times New Roman" w:hAnsi="Times New Roman" w:cs="Times New Roman"/>
          <w:sz w:val="24"/>
          <w:szCs w:val="24"/>
          <w:lang w:eastAsia="ru-RU"/>
        </w:rPr>
        <w:br/>
      </w:r>
    </w:p>
    <w:p w:rsidR="007A2070" w:rsidRPr="007A2070" w:rsidRDefault="007A2070" w:rsidP="007A2070">
      <w:pPr>
        <w:spacing w:before="100" w:beforeAutospacing="1" w:after="100" w:afterAutospacing="1" w:line="240" w:lineRule="auto"/>
        <w:rPr>
          <w:rFonts w:ascii="Times New Roman" w:eastAsia="Times New Roman" w:hAnsi="Times New Roman" w:cs="Times New Roman"/>
          <w:sz w:val="24"/>
          <w:szCs w:val="24"/>
          <w:lang w:eastAsia="ru-RU"/>
        </w:rPr>
      </w:pPr>
      <w:r w:rsidRPr="007A2070">
        <w:rPr>
          <w:rFonts w:ascii="Times New Roman" w:eastAsia="Times New Roman" w:hAnsi="Times New Roman" w:cs="Times New Roman"/>
          <w:sz w:val="24"/>
          <w:szCs w:val="24"/>
          <w:lang w:eastAsia="ru-RU"/>
        </w:rPr>
        <w:t>7.2 По результатам испытания принимают решение о соответствии партии напитка требованиям соответствующего нормативного документа.</w:t>
      </w:r>
      <w:r w:rsidRPr="007A2070">
        <w:rPr>
          <w:rFonts w:ascii="Times New Roman" w:eastAsia="Times New Roman" w:hAnsi="Times New Roman" w:cs="Times New Roman"/>
          <w:sz w:val="24"/>
          <w:szCs w:val="24"/>
          <w:lang w:eastAsia="ru-RU"/>
        </w:rPr>
        <w:br/>
      </w:r>
      <w:r w:rsidRPr="007A2070">
        <w:rPr>
          <w:rFonts w:ascii="Times New Roman" w:eastAsia="Times New Roman" w:hAnsi="Times New Roman" w:cs="Times New Roman"/>
          <w:sz w:val="24"/>
          <w:szCs w:val="24"/>
          <w:lang w:eastAsia="ru-RU"/>
        </w:rPr>
        <w:br/>
      </w:r>
    </w:p>
    <w:p w:rsidR="00C76B17" w:rsidRDefault="007A2070">
      <w:bookmarkStart w:id="0" w:name="_GoBack"/>
      <w:bookmarkEnd w:id="0"/>
    </w:p>
    <w:sectPr w:rsidR="00C76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070"/>
    <w:rsid w:val="00076D24"/>
    <w:rsid w:val="00135440"/>
    <w:rsid w:val="007A2070"/>
    <w:rsid w:val="007E3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19C905-50C1-45F7-B78C-CC6453F8F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A20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A207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207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A2070"/>
    <w:rPr>
      <w:rFonts w:ascii="Times New Roman" w:eastAsia="Times New Roman" w:hAnsi="Times New Roman" w:cs="Times New Roman"/>
      <w:b/>
      <w:bCs/>
      <w:sz w:val="36"/>
      <w:szCs w:val="36"/>
      <w:lang w:eastAsia="ru-RU"/>
    </w:rPr>
  </w:style>
  <w:style w:type="paragraph" w:customStyle="1" w:styleId="formattext">
    <w:name w:val="formattext"/>
    <w:basedOn w:val="a"/>
    <w:rsid w:val="007A20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7A20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A20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2991929">
      <w:bodyDiv w:val="1"/>
      <w:marLeft w:val="0"/>
      <w:marRight w:val="0"/>
      <w:marTop w:val="0"/>
      <w:marBottom w:val="0"/>
      <w:divBdr>
        <w:top w:val="none" w:sz="0" w:space="0" w:color="auto"/>
        <w:left w:val="none" w:sz="0" w:space="0" w:color="auto"/>
        <w:bottom w:val="none" w:sz="0" w:space="0" w:color="auto"/>
        <w:right w:val="none" w:sz="0" w:space="0" w:color="auto"/>
      </w:divBdr>
      <w:divsChild>
        <w:div w:id="358900769">
          <w:marLeft w:val="0"/>
          <w:marRight w:val="0"/>
          <w:marTop w:val="0"/>
          <w:marBottom w:val="0"/>
          <w:divBdr>
            <w:top w:val="none" w:sz="0" w:space="0" w:color="auto"/>
            <w:left w:val="none" w:sz="0" w:space="0" w:color="auto"/>
            <w:bottom w:val="none" w:sz="0" w:space="0" w:color="auto"/>
            <w:right w:val="none" w:sz="0" w:space="0" w:color="auto"/>
          </w:divBdr>
          <w:divsChild>
            <w:div w:id="119225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1405" TargetMode="External"/><Relationship Id="rId13" Type="http://schemas.openxmlformats.org/officeDocument/2006/relationships/hyperlink" Target="http://docs.cntd.ru/document/1200023055" TargetMode="External"/><Relationship Id="rId3" Type="http://schemas.openxmlformats.org/officeDocument/2006/relationships/webSettings" Target="webSettings.xml"/><Relationship Id="rId7" Type="http://schemas.openxmlformats.org/officeDocument/2006/relationships/hyperlink" Target="http://docs.cntd.ru/document/842501075" TargetMode="External"/><Relationship Id="rId12" Type="http://schemas.openxmlformats.org/officeDocument/2006/relationships/hyperlink" Target="http://docs.cntd.ru/document/12000236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842501075" TargetMode="External"/><Relationship Id="rId11" Type="http://schemas.openxmlformats.org/officeDocument/2006/relationships/hyperlink" Target="http://docs.cntd.ru/document/1200001405" TargetMode="External"/><Relationship Id="rId5" Type="http://schemas.openxmlformats.org/officeDocument/2006/relationships/hyperlink" Target="http://docs.cntd.ru/document/1200076496" TargetMode="External"/><Relationship Id="rId15" Type="http://schemas.openxmlformats.org/officeDocument/2006/relationships/theme" Target="theme/theme1.xml"/><Relationship Id="rId10" Type="http://schemas.openxmlformats.org/officeDocument/2006/relationships/hyperlink" Target="http://docs.cntd.ru/document/1200023608" TargetMode="External"/><Relationship Id="rId4" Type="http://schemas.openxmlformats.org/officeDocument/2006/relationships/hyperlink" Target="http://docs.cntd.ru/document/1200006531" TargetMode="External"/><Relationship Id="rId9" Type="http://schemas.openxmlformats.org/officeDocument/2006/relationships/hyperlink" Target="http://docs.cntd.ru/document/120002305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6461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2018-11-19T10:28:00Z</dcterms:created>
  <dcterms:modified xsi:type="dcterms:W3CDTF">2018-11-19T10:28:00Z</dcterms:modified>
</cp:coreProperties>
</file>